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168 BBergG — Erlaubnisse für Transit-Rohrleitungen</w:t>
      </w:r>
    </w:p>
    <w:p>
      <w:r>
        <w:rPr>
          <w:color w:val="555555"/>
          <w:sz w:val="18"/>
        </w:rPr>
        <w:t xml:space="preserve">Bundesberggesetz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am 1. Januar 1982 nach § 2 des Gesetzes zur vorläufigen Regelung der Rechte am Festlandsockel erteilten vorläufigen Erlaubnisse zur Errichtung oder zum Betrieb von Transit-Rohrleitungen gelten für die Dauer ihrer Laufzeit als Genehmigungen im Sinne des § 133.</w:t>
      </w:r>
    </w:p>
    <w:p>
      <w:r>
        <w:rPr>
          <w:color w:val="555555"/>
          <w:sz w:val="17"/>
        </w:rPr>
        <w:t xml:space="preserve">Zitiervorschlag: § 168 BBergG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https://recht.nulegal.eu/gesetze/BBergG/168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