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 BBergG — Fortgeltung von Betriebsplänen und Anerkennungen</w:t>
      </w:r>
    </w:p>
    <w:p>
      <w:r>
        <w:rPr>
          <w:color w:val="555555"/>
          <w:sz w:val="18"/>
        </w:rPr>
        <w:t xml:space="preserve">Bundesberggesetz</w:t>
      </w:r>
    </w:p>
    <w:p>
      <w:r>
        <w:rPr>
          <w:color w:val="555555"/>
          <w:sz w:val="18"/>
        </w:rPr>
        <w:t xml:space="preserve">Stand: 10.06.2019 (konsolidierte Textfassung, kein amtliches Inkrafttretensdatum)</w:t>
      </w:r>
    </w:p>
    <w:p>
      <w:r>
        <w:t xml:space="preserve">(1) Für Tätigkeiten und Einrichtungen im Sinne des § 2 und der §§ 126 bis 131, die bei Inkrafttreten dieses Gesetzes der Bergaufsicht unterliegen, gilt folgendes:</w:t>
      </w:r>
    </w:p>
    <w:p>
      <w:pPr>
        <w:ind w:left="420"/>
      </w:pPr>
      <w:r>
        <w:t xml:space="preserve">1. Die im Zeitpunkt des Inkrafttretens dieses Gesetzes zugelassenen Betriebspläne gelten für die Dauer ihrer Laufzeit als im Sinne dieses Gesetzes zugelassen.</w:t>
      </w:r>
    </w:p>
    <w:p>
      <w:pPr>
        <w:ind w:left="420"/>
      </w:pPr>
      <w:r>
        <w:t xml:space="preserve">2. Die Personen, deren Befähigung zur Leitung und Beaufsichtigung des Betriebes anerkannt ist (Aufsichtspersonen), gelten für die Dauer der Anerkennung, höchstens jedoch für zwei Jahre nach Inkrafttreten dieses Gesetzes, für die ihnen im Zeitpunkt des Inkrafttretens dieses Gesetzes übertragenen Geschäftskreise als verantwortliche Personen im Sinne der §§ 58 und 59.</w:t>
      </w:r>
    </w:p>
    <w:p>
      <w:pPr>
        <w:ind w:left="420"/>
      </w:pPr>
      <w:r>
        <w:t xml:space="preserve">3. Die Personen, die vom Unternehmer (Bergwerksbesitzer, Bergwerksunternehmer) im Rahmen seiner verantwortlichen Leitung des Betriebes zur Wahrnehmung bestimmter Aufgaben und Befugnisse für die Sicherheit und Ordnung im Betrieb bestellt und der Bergbehörde namhaft gemacht worden sind (verantwortliche Personen), gelten nach Maßgabe der ihnen im Zeitpunkt des Inkrafttretens dieses Gesetzes übertragenen Aufgaben und Befugnisse als verantwortliche Personen im Sinne des §§ 58 und 59.</w:t>
      </w:r>
    </w:p>
    <w:p>
      <w:r>
        <w:t xml:space="preserve">(2) Absatz 1 Nr. 2 und 3 gilt von dem Zeitpunkt ab nicht, von dem ab nach einer auf Grund des § 66 Satz 1 Nr. 9 erlassenen Bergverordnung die Fachkunde der in Absatz 1 Nr. 2 und 3 genannten Personen für die ihnen übertragenen Geschäftskreise oder Aufgaben und Befugnisse wegen der in der Bergverordnung gestellten Anforderungen nicht ausreicht oder der Unternehmer ihre Bestellung im Sinne des § 59 ändert.</w:t>
      </w:r>
    </w:p>
    <w:p>
      <w:r>
        <w:rPr>
          <w:color w:val="555555"/>
          <w:sz w:val="17"/>
        </w:rPr>
        <w:t xml:space="preserve">Zitiervorschlag: § 167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