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166 BBergG — Bestehende Hilfsbaue</w:t>
      </w:r>
    </w:p>
    <w:p>
      <w:r>
        <w:rPr>
          <w:color w:val="555555"/>
          <w:sz w:val="18"/>
        </w:rPr>
        <w:t xml:space="preserve">Bundesberggesetz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bei Inkrafttreten dieses Gesetzes bestehenden, nach den vor diesem Zeitpunkt geltenden Vorschriften rechtmäßig angelegten Hilfsbaue gelten als Hilfsbaue im Sinne dieses Gesetzes.</w:t>
      </w:r>
    </w:p>
    <w:p>
      <w:r>
        <w:rPr>
          <w:color w:val="555555"/>
          <w:sz w:val="17"/>
        </w:rPr>
        <w:t xml:space="preserve">Zitiervorschlag: § 166 BBergG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https://recht.nulegal.eu/gesetze/BBergG/166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