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165 BBergG — Fortgeltendes Recht</w:t>
      </w:r>
    </w:p>
    <w:p>
      <w:r>
        <w:rPr>
          <w:color w:val="555555"/>
          <w:sz w:val="18"/>
        </w:rPr>
        <w:t xml:space="preserve">Bundesberggesetz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Bis zu dem in § 163 Abs. 1 Satz 1 oder 2 genannten Zeitpunkt und für den Zeitraum einer Abwicklung nach § 164 sind die beim Inkrafttreten dieses Gesetzes für Gewerkschaften geltenden bergrechtlichen Vorschriften der Länder weiterhin anzuwenden, soweit sich aus § 163 Abs. 1 Satz 3 und § 164 nichts anderes ergibt.</w:t>
      </w:r>
    </w:p>
    <w:p>
      <w:r>
        <w:rPr>
          <w:color w:val="555555"/>
          <w:sz w:val="17"/>
        </w:rPr>
        <w:t xml:space="preserve">Zitiervorschlag: § 165 BBergG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https://recht.nulegal.eu/gesetze/BBergG/165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