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162 BBergG — Entscheidung, Rechtsänderung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Entscheidung über die Ausdehnung des Bergwerkseigentums für ein Geviertfeld auf den Bereich eines durch Enteignung nach § 160 ganz oder teilweise aufgehobenen Bergwerkseigentums für ein Längenfeld hat die zuständige Behörde dem Antragsteller aufzuerlegen, die nach § 160 Abs. 2 Satz 1 geleistete Entschädigung dem Land bis zur Höhe des Verkehrswertes des Bereichs zu erstatten, auf den das Bergwerkseigentum für ein Geviertfeld ausgedehnt wird. Für die Bemessung des Verkehrswerts, die nach § 85 Abs. 2 vorzunehmen ist, ist der Zeitpunkt der Entscheidung maßgebend.</w:t>
      </w:r>
    </w:p>
    <w:p>
      <w:r>
        <w:t xml:space="preserve">(2) Mit Unanfechtbarkeit der Entscheidung wird die Ausdehnung des Geviertfeldes wirksam. Die zuständige Behörde hat die erforderlichen Zusatzurkunden auszufertigen. Die zuständige Behörde ersucht das Grundbuchamt, die Rechtsänderung im Grundbuch einzutragen.</w:t>
      </w:r>
    </w:p>
    <w:p>
      <w:r>
        <w:rPr>
          <w:color w:val="555555"/>
          <w:sz w:val="17"/>
        </w:rPr>
        <w:t xml:space="preserve">Zitiervorschlag: § 162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