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BBergG — Alte Rechte und Aufsuchung zu wissenschaftlichen Zwecken</w:t>
      </w:r>
    </w:p>
    <w:p>
      <w:r>
        <w:rPr>
          <w:color w:val="555555"/>
          <w:sz w:val="18"/>
        </w:rPr>
        <w:t xml:space="preserve">Bundesberggesetz</w:t>
      </w:r>
    </w:p>
    <w:p>
      <w:r>
        <w:rPr>
          <w:color w:val="555555"/>
          <w:sz w:val="18"/>
        </w:rPr>
        <w:t xml:space="preserve">Stand: 10.06.2019 (konsolidierte Textfassung, kein amtliches Inkrafttretensdatum)</w:t>
      </w:r>
    </w:p>
    <w:p>
      <w:r>
        <w:t xml:space="preserve">Aufrechterhaltene alte Rechte und Verträge, die allein oder neben anderen Befugnissen ein ausschließliches Recht zur Aufsuchung von Bodenschätzen zum Gegenstand haben, schließen die Erteilung einer Erlaubnis zur großräumigen Aufsuchung sowie einer oder mehrerer Erlaubnisse zur Aufsuchung zu wissenschaftlichen Zwecken nach § 7 für dasselbe Feld nicht aus.</w:t>
      </w:r>
    </w:p>
    <w:p>
      <w:r>
        <w:rPr>
          <w:color w:val="555555"/>
          <w:sz w:val="17"/>
        </w:rPr>
        <w:t xml:space="preserve">Zitiervorschlag: § 159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