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 BBergG — Ausnahme von der Bergfreiheit von Bodenschätzen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§ 3 Abs. 3 Satz 1 oder 2 Nr. 2 aufgeführte Bodenschätze, auf die sich ein aufrechterhaltenes Recht oder aufrechterhaltener Vertrag im Sinne des § 149 Abs. 1 Satz 1 Nr. 5 oder 6 oder Abs. 3 bezieht, bleiben bis zum Erlöschen oder bis zur Aufhebung des Rechts oder Vertrages grundeigene Bodenschätze.</w:t>
      </w:r>
    </w:p>
    <w:p>
      <w:r>
        <w:t xml:space="preserve">(2) In § 3 Abs. 3 Satz 1 nicht aufgeführte und nicht unter § 3 Abs. 3 Satz 2 Nr. 1 und 2 Buchstabe b fallende Bodenschätze, auf die sich ein aufrechterhaltenes Recht oder aufrechterhaltener Vertrag im Sinne des § 149 Abs. 1 Satz 1 Nr. 1 bis 4 oder eine nach § 172 erteilte Bewilligung bezieht, bleiben bis zum Erlöschen oder bis zur Aufhebung des Rechts, des Vertrages oder der Bewilligung bergfreie Bodenschätze.</w:t>
      </w:r>
    </w:p>
    <w:p>
      <w:r>
        <w:rPr>
          <w:color w:val="555555"/>
          <w:sz w:val="17"/>
        </w:rPr>
        <w:t xml:space="preserve">Zitiervorschlag: § 150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