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148 BBergG — Tatort, Gerichtsstand</w:t>
      </w:r>
    </w:p>
    <w:p>
      <w:r>
        <w:rPr>
          <w:color w:val="555555"/>
          <w:sz w:val="18"/>
        </w:rPr>
        <w:t xml:space="preserve">Bundesberggesetz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Werden Taten nach § 146 nicht im Inland begangen, so gilt das deutsche Strafrecht unabhängig vom Recht des Tatorts.</w:t>
      </w:r>
    </w:p>
    <w:p>
      <w:r>
        <w:t xml:space="preserve">(2) Im Bereich des Festlandsockels haben die Beamten der in § 132 Abs. 1, § 134 Abs. 1 und § 136 bezeichneten Behörden Straftaten nach § 146 zu erforschen und alle keinen Aufschub gestattenden Anordnungen zu treffen, um die Verdunkelung der Sache zu verhüten; die Beamten haben die Rechte und Pflichten der Polizeibeamten nach den Vorschriften der Strafprozeßordnung; sie sind insoweit Ermittlungspersonen der Staatsanwaltschaft.</w:t>
      </w:r>
    </w:p>
    <w:p>
      <w:r>
        <w:t xml:space="preserve">(3) Ist für eine Straftat nach § 146 ein Gerichtsstand nach den §§ 7 bis 10, 13, 98 Abs. 2, § 128 Abs. 1, § 162 oder § 165 der Strafprozeßordnung oder § 157 des Gerichtsverfassungsgesetzes im Geltungsbereich dieses Gesetzes nicht begründet, so ist Hamburg Gerichtsstand; zuständiges Amtsgericht ist das Amtsgericht Hamburg.</w:t>
      </w:r>
    </w:p>
    <w:p>
      <w:r>
        <w:rPr>
          <w:color w:val="555555"/>
          <w:sz w:val="17"/>
        </w:rPr>
        <w:t xml:space="preserve">Zitiervorschlag: § 148 BBergG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https://recht.nulegal.eu/gesetze/BBergG/148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