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144 BBergG — Klage vor den ordentlichen Gerichten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Rechtsstreitigkeiten über Entschädigungen ist der ordentliche Rechtsweg gegeben.</w:t>
      </w:r>
    </w:p>
    <w:p>
      <w:r>
        <w:t xml:space="preserve">(2) Für die Klage sind die Landgerichte ohne Rücksicht auf den Wert des Streitgegenstandes ausschließlich zuständig. Örtlich ist das Landgericht ausschließlich zuständig, in dessen Bezirk der in Anspruch genommene Gegenstand liegt.</w:t>
      </w:r>
    </w:p>
    <w:p>
      <w:r>
        <w:t xml:space="preserve">(3) Die Klage ist innerhalb eines Monats zu erheben. Die Frist beginnt</w:t>
      </w:r>
    </w:p>
    <w:p>
      <w:pPr>
        <w:ind w:left="420"/>
      </w:pPr>
      <w:r>
        <w:t xml:space="preserve">1. mit der Zustellung der Entscheidung der Behörde oder,</w:t>
      </w:r>
    </w:p>
    <w:p>
      <w:pPr>
        <w:ind w:left="420"/>
      </w:pPr>
      <w:r>
        <w:t xml:space="preserve">2. falls in derselben Sache ein Verwaltungsstreitverfahren eingeleitet wird, mit dem rechtskräftigen Abschluß dieses Verfahrens.</w:t>
      </w:r>
    </w:p>
    <w:p>
      <w:r>
        <w:t xml:space="preserve">Die Frist ist eine Notfrist im Sinne der Zivilprozeßordnung.</w:t>
      </w:r>
    </w:p>
    <w:p>
      <w:r>
        <w:t xml:space="preserve">(4) Der Rechtsstreit ist zwischen dem Entschädigungsberechtigten und dem Entschädigungsverpflichteten zu führen. Dies gilt sinngemäß, wenn der Rechtsstreit eine Ausgleichszahlung betrifft.</w:t>
      </w:r>
    </w:p>
    <w:p>
      <w:r>
        <w:t xml:space="preserve">(5) Das Gericht übersendet der nach § 92 zuständigen Behörde eine Ausfertigung der Entscheidung oder des Vergleichs.</w:t>
      </w:r>
    </w:p>
    <w:p>
      <w:r>
        <w:rPr>
          <w:color w:val="555555"/>
          <w:sz w:val="17"/>
        </w:rPr>
        <w:t xml:space="preserve">Zitiervorschlag: § 144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