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BBergG — Zuständige Behörden</w:t>
      </w:r>
    </w:p>
    <w:p>
      <w:r>
        <w:rPr>
          <w:color w:val="555555"/>
          <w:sz w:val="18"/>
        </w:rPr>
        <w:t xml:space="preserve">Bundesberggesetz</w:t>
      </w:r>
    </w:p>
    <w:p>
      <w:r>
        <w:rPr>
          <w:color w:val="555555"/>
          <w:sz w:val="18"/>
        </w:rPr>
        <w:t xml:space="preserve">Stand: 10.06.2019 (konsolidierte Textfassung, kein amtliches Inkrafttretensdatum)</w:t>
      </w:r>
    </w:p>
    <w:p>
      <w:r>
        <w:t xml:space="preserve">Die Landesregierungen oder die von ihnen bestimmten Stellen bestimmen die für die Ausführung dieses Gesetzes zuständigen Behörden, soweit nicht Bundesbehörden zuständig sind. Unberührt bleiben Vorschriften des Landesrechts, nach denen für ein Land Behörden eines anderen Landes zuständig sind.</w:t>
      </w:r>
    </w:p>
    <w:p>
      <w:r>
        <w:rPr>
          <w:color w:val="555555"/>
          <w:sz w:val="17"/>
        </w:rPr>
        <w:t xml:space="preserve">Zitiervorschlag: § 142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