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137 BBergG — Übergangsregelung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Zuständigkeit der Länder im Bereich des Festlandsockels richtet sich nach dem Äquidistanzprinzip. Eine Feldes- oder Förderabgabe ist an das Land zu entrichten, an dessen Küstengewässer das Feld einer Erlaubnis, Bewilligung oder eines Bergwerkseigentums im Bereich des Festlandsockels angrenzt; die Zuordnung eines Feldes zum Gebiet des Landes bestimmt sich nach dem Äquidistanzprinzip.</w:t>
      </w:r>
    </w:p>
    <w:p>
      <w:r>
        <w:t xml:space="preserve">(2) Die endgültige Regelung der Rechte am Festlandsockel einschließlich einer Regelung über die Zuweisung der Feldes- und Förderabgabe bleibt einem besonderen Gesetz vorbehalten.</w:t>
      </w:r>
    </w:p>
    <w:p>
      <w:r>
        <w:rPr>
          <w:color w:val="555555"/>
          <w:sz w:val="17"/>
        </w:rPr>
        <w:t xml:space="preserve">Zitiervorschlag: § 137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