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BBergG — Zuständigkeiten für sonstige Verwaltungsaufgaben</w:t>
      </w:r>
    </w:p>
    <w:p>
      <w:r>
        <w:rPr>
          <w:color w:val="555555"/>
          <w:sz w:val="18"/>
        </w:rPr>
        <w:t xml:space="preserve">Bundesberggesetz</w:t>
      </w:r>
    </w:p>
    <w:p>
      <w:r>
        <w:rPr>
          <w:color w:val="555555"/>
          <w:sz w:val="18"/>
        </w:rPr>
        <w:t xml:space="preserve">Stand: 10.06.2019 (konsolidierte Textfassung, kein amtliches Inkrafttretensdatum)</w:t>
      </w:r>
    </w:p>
    <w:p>
      <w:r>
        <w:t xml:space="preserve">Soweit sich aus den §§ 132 bis 134 nichts anderes ergibt, nimmt die Verwaltungsaufgaben nach diesem Gesetz und den hierzu erlassenen Bergverordnungen für den Bereich des Festlandsockels die zuständige Landesbehörde wahr.</w:t>
      </w:r>
    </w:p>
    <w:p>
      <w:r>
        <w:rPr>
          <w:color w:val="555555"/>
          <w:sz w:val="17"/>
        </w:rPr>
        <w:t xml:space="preserve">Zitiervorschlag: § 136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