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BBergG — Alte Halden</w:t>
      </w:r>
    </w:p>
    <w:p>
      <w:r>
        <w:rPr>
          <w:color w:val="555555"/>
          <w:sz w:val="18"/>
        </w:rPr>
        <w:t xml:space="preserve">Bundesberggesetz</w:t>
      </w:r>
    </w:p>
    <w:p>
      <w:r>
        <w:rPr>
          <w:color w:val="555555"/>
          <w:sz w:val="18"/>
        </w:rPr>
        <w:t xml:space="preserve">Stand: 10.06.2019 (konsolidierte Textfassung, kein amtliches Inkrafttretensdatum)</w:t>
      </w:r>
    </w:p>
    <w:p>
      <w:r>
        <w:t xml:space="preserve">Für das Aufsuchen und Gewinnen mineralischer Rohstoffe in Halden gelten die §§ 39, 40, 42, 48, 50 bis 74 und 77 bis 104 und 106 entsprechend, wenn die mineralischen Rohstoffe als Bodenschätze unter § 3 Abs. 3 und 4 fallen würden und aus einer früheren Aufsuchung, Gewinnung oder Aufbereitung von Bodenschätzen stammen.</w:t>
      </w:r>
    </w:p>
    <w:p>
      <w:r>
        <w:rPr>
          <w:color w:val="555555"/>
          <w:sz w:val="17"/>
        </w:rPr>
        <w:t xml:space="preserve">Zitiervorschlag: § 128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