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BBergG — Durchführungsverordnung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wird ermächtigt, durch Rechtsverordnung, die nicht der Zustimmung des Bundesrates bedarf, Vorschriften zu erlassen über</w:t>
      </w:r>
    </w:p>
    <w:p>
      <w:pPr>
        <w:ind w:left="420"/>
      </w:pPr>
      <w:r>
        <w:t xml:space="preserve">1. die Beitragspflicht, die Beitragspflichtigen und, soweit erforderlich, deren Einteilung in Beitragsklassen, sowie über die Abgrenzung der Zuordnung der Beitragspflichtigen zu den einzelnen Beitragsklassen,</w:t>
      </w:r>
    </w:p>
    <w:p>
      <w:pPr>
        <w:ind w:left="420"/>
      </w:pPr>
      <w:r>
        <w:t xml:space="preserve">2. die Bemessung der Beiträge,</w:t>
      </w:r>
    </w:p>
    <w:p>
      <w:pPr>
        <w:ind w:left="420"/>
      </w:pPr>
      <w:r>
        <w:t xml:space="preserve">3. das Verfahren zur Feststellung der Beitragspflichtigen,</w:t>
      </w:r>
    </w:p>
    <w:p>
      <w:pPr>
        <w:ind w:left="420"/>
      </w:pPr>
      <w:r>
        <w:t xml:space="preserve">4. die Pflicht zur Erteilung von Auskünften und Vorlage von Unterlagen, soweit dies zur Beitragsbemessung erforderlich ist, und</w:t>
      </w:r>
    </w:p>
    <w:p>
      <w:pPr>
        <w:ind w:left="420"/>
      </w:pPr>
      <w:r>
        <w:t xml:space="preserve">5. die Aufsicht über die Bergschadensausfallkasse.</w:t>
      </w:r>
    </w:p>
    <w:p>
      <w:r>
        <w:rPr>
          <w:color w:val="555555"/>
          <w:sz w:val="17"/>
        </w:rPr>
        <w:t xml:space="preserve">Zitiervorschlag: § 123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