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119 BBergG — Mitwirkung eines Dritten</w:t>
      </w:r>
    </w:p>
    <w:p>
      <w:r>
        <w:rPr>
          <w:color w:val="555555"/>
          <w:sz w:val="18"/>
        </w:rPr>
        <w:t xml:space="preserve">Bundesberggesetz</w:t>
      </w:r>
    </w:p>
    <w:p>
      <w:r>
        <w:rPr>
          <w:color w:val="555555"/>
          <w:sz w:val="18"/>
        </w:rPr>
        <w:t xml:space="preserve">Stand: 10.06.2019 (konsolidierte Textfassung, kein amtliches Inkrafttretensdatum)</w:t>
      </w:r>
    </w:p>
    <w:p>
      <w:r>
        <w:t xml:space="preserve">Hat bei der Entstehung eines Bergschadens eine Ursache mitgewirkt, die die Ersatzpflicht eines Dritten auf Grund eines anderen Gesetzes begründet, haften der Ersatzpflichtige und der Dritte dem Geschädigten gegenüber als Gesamtschuldner. Es gelten</w:t>
      </w:r>
    </w:p>
    <w:p>
      <w:pPr>
        <w:ind w:left="420"/>
      </w:pPr>
      <w:r>
        <w:t xml:space="preserve">1. für den Ausgleich im Verhältnis zwischen dem nach § 115 Ersatzpflichtigen und dem Dritten § 115 Abs. 2 Satz 2 und</w:t>
      </w:r>
    </w:p>
    <w:p>
      <w:pPr>
        <w:ind w:left="420"/>
      </w:pPr>
      <w:r>
        <w:t xml:space="preserve">2. für die Ersatzpflicht gegenüber dem Geschädigten § 115 Abs. 3</w:t>
      </w:r>
    </w:p>
    <w:p>
      <w:r>
        <w:t xml:space="preserve">entsprechend. Der Ersatzpflichtige ist jedoch nicht verpflichtet, über die Haftungshöchstbeträge des § 117 hinaus Ersatz zu leisten.</w:t>
      </w:r>
    </w:p>
    <w:p>
      <w:r>
        <w:rPr>
          <w:color w:val="555555"/>
          <w:sz w:val="17"/>
        </w:rPr>
        <w:t xml:space="preserve">Zitiervorschlag: § 119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https://recht.nulegal.eu/gesetze/BBergG/119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