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118 BBergG — Mitwirkendes Verschulden</w:t>
      </w:r>
    </w:p>
    <w:p>
      <w:r>
        <w:rPr>
          <w:color w:val="555555"/>
          <w:sz w:val="18"/>
        </w:rPr>
        <w:t xml:space="preserve">Bundesberggesetz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Hat bei der Entstehung des Bergschadens ein Verschulden des Geschädigten mitgewirkt, so gilt § 254 des Bürgerlichen Gesetzbuchs; bei Beschädigung einer Sache steht das Verschulden desjenigen, der die tatsächliche Gewalt über die Sache ausübt, dem Verschulden des Geschädigten gleich.</w:t>
      </w:r>
    </w:p>
    <w:p>
      <w:r>
        <w:rPr>
          <w:color w:val="555555"/>
          <w:sz w:val="17"/>
        </w:rPr>
        <w:t xml:space="preserve">Zitiervorschlag: § 118 BBergG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https://recht.nulegal.eu/gesetze/BBergG/118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