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BBergG — Umfang der Ersatzpflicht, Verjährung, Rechte Dritter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Umfang der Ersatzpflicht richtet sich nach den Vorschriften des Bürgerlichen Gesetzbuchs über die Verpflichtung zum Ersatz des Schadens im Falle einer unerlaubten Handlung, jedoch mit folgenden Einschränkungen:</w:t>
      </w:r>
    </w:p>
    <w:p>
      <w:pPr>
        <w:ind w:left="420"/>
      </w:pPr>
      <w:r>
        <w:t xml:space="preserve">1. Im Falle der Tötung oder Verletzung eines Menschen haftet der Ersatzpflichtige für jede Person bis zu einem Kapitalbetrag von 600000 Euro oder bis zu einem Rentenbetrag von jährlich 36.000 Euro.</w:t>
      </w:r>
    </w:p>
    <w:p>
      <w:pPr>
        <w:ind w:left="420"/>
      </w:pPr>
      <w:r>
        <w:t xml:space="preserve">2. Im Falle einer Sachbeschädigung haftet der Ersatzpflichtige nur bis zur Höhe des gemeinen Wertes der beschädigten Sache; dies gilt nicht für die Beschädigung von Grundstücken, deren Bestandteilen und Zubehör.</w:t>
      </w:r>
    </w:p>
    <w:p>
      <w:r>
        <w:t xml:space="preserve">(2) Auf die Verjährung des Anspruchs auf Ersatz des Bergschadens finden die Vorschriften des Abschnitts 5 des Buches 1 des Bürgerlichen Gesetzbuchs entsprechende Anwendung.</w:t>
      </w:r>
    </w:p>
    <w:p>
      <w:r>
        <w:t xml:space="preserve">(3) Für die Entschädigung gelten die Artikel 52 und 53 des Einführungsgesetzes zum Bürgerlichen Gesetzbuch entsprechend.</w:t>
      </w:r>
    </w:p>
    <w:p>
      <w:r>
        <w:rPr>
          <w:color w:val="555555"/>
          <w:sz w:val="17"/>
        </w:rPr>
        <w:t xml:space="preserve">Zitiervorschlag: § 117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