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BBergG — Ersatzpflicht des Unternehmers</w:t>
      </w:r>
    </w:p>
    <w:p>
      <w:r>
        <w:rPr>
          <w:color w:val="555555"/>
          <w:sz w:val="18"/>
        </w:rPr>
        <w:t xml:space="preserve">Bundesberggesetz</w:t>
      </w:r>
    </w:p>
    <w:p>
      <w:r>
        <w:rPr>
          <w:color w:val="555555"/>
          <w:sz w:val="18"/>
        </w:rPr>
        <w:t xml:space="preserve">Stand: 10.06.2019 (konsolidierte Textfassung, kein amtliches Inkrafttretensdatum)</w:t>
      </w:r>
    </w:p>
    <w:p>
      <w:r>
        <w:t xml:space="preserve">(1) Zum Ersatz eines Bergschadens ist der Unternehmer verpflichtet, der den Bergbaubetrieb zur Zeit der Verursachung des Bergschadens betrieben hat oder für eigene Rechnung hat betreiben lassen.</w:t>
      </w:r>
    </w:p>
    <w:p>
      <w:r>
        <w:t xml:space="preserve">(2) Ist ein Bergschaden durch zwei oder mehrere Bergbaubetriebe verursacht, so haften die Unternehmer der beteiligten Bergbaubetriebe als Gesamtschuldner. Im Verhältnis der Gesamtschuldner zueinander hängt, soweit nichts anderes vereinbart ist, die Verpflichtung zum Ersatz sowie der Umfang des zu leistenden Ersatzes von den Umständen, insbesondere davon ab, inwieweit der Bergschaden vorwiegend von dem einen oder anderen Bergbaubetrieb verursacht worden ist; im Zweifel entfallen auf die beteiligten Bergbaubetriebe gleiche Anteile.</w:t>
      </w:r>
    </w:p>
    <w:p>
      <w:r>
        <w:t xml:space="preserve">(3) Soweit in den Fällen des Absatzes 2 die Haftung des Unternehmers eines beteiligten Bergbaubetriebes gegenüber dem Geschädigten durch Rechtsgeschäft ausgeschlossen ist, sind bis zur Höhe des auf diesen Bergbaubetrieb nach Absatz 2 Satz 2 entfallenden Anteils die Unternehmer der anderen Bergbaubetriebe von der Haftung befreit.</w:t>
      </w:r>
    </w:p>
    <w:p>
      <w:r>
        <w:t xml:space="preserve">(4) Wird ein Bergschaden durch ein und denselben Bergbaubetrieb innerhalb eines Zeitraums verursacht, in dem der Bergbaubetrieb durch zwei oder mehrere Unternehmer betrieben wurde, so gelten die Absätze 2 und 3 entsprechend.</w:t>
      </w:r>
    </w:p>
    <w:p>
      <w:r>
        <w:rPr>
          <w:color w:val="555555"/>
          <w:sz w:val="17"/>
        </w:rPr>
        <w:t xml:space="preserve">Zitiervorschlag: § 115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