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BBergG — Verlust des Ersatzanspruchs</w:t>
      </w:r>
    </w:p>
    <w:p>
      <w:r>
        <w:rPr>
          <w:color w:val="555555"/>
          <w:sz w:val="18"/>
        </w:rPr>
        <w:t xml:space="preserve">Bundesberggesetz</w:t>
      </w:r>
    </w:p>
    <w:p>
      <w:r>
        <w:rPr>
          <w:color w:val="555555"/>
          <w:sz w:val="18"/>
        </w:rPr>
        <w:t xml:space="preserve">Stand: 10.06.2019 (konsolidierte Textfassung, kein amtliches Inkrafttretensdatum)</w:t>
      </w:r>
    </w:p>
    <w:p>
      <w:r>
        <w:t xml:space="preserve">Werden bauliche Anlagen unter Verstoß gegen § 110 oder § 111 errichtet, erweitert oder wesentlich verändert, so ist ein Anspruch auf Ersatz eines Bergschadens wegen der Beschädigung dieser Anlagen und der daraus entstandenen Schäden an Personen oder Sachen ausgeschlossen, soweit der Schaden auf die Nichtbeachtung der genannten Vorschriften zurückzuführen ist. Satz 1 gilt nicht, wenn der Unternehmer seiner Pflicht zum Ersatz oder zur Tragung der Aufwendungen oder zur Vorschußleistung nach § 110 Abs. 3 und 4 oder nach § 111 Abs. 2 und 3 nicht oder nur teilweise nachgekommen ist. Bei Verstößen des Bauherrn oder Unternehmers, die nicht auf Vorsatz oder grober Fahrlässigkeit beruhen, gilt § 118 entsprechend.</w:t>
      </w:r>
    </w:p>
    <w:p>
      <w:r>
        <w:rPr>
          <w:color w:val="555555"/>
          <w:sz w:val="17"/>
        </w:rPr>
        <w:t xml:space="preserve">Zitiervorschlag: § 112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