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BBergG — Sicherungsmaßnahmen</w:t>
      </w:r>
    </w:p>
    <w:p>
      <w:r>
        <w:rPr>
          <w:color w:val="555555"/>
          <w:sz w:val="18"/>
        </w:rPr>
        <w:t xml:space="preserve">Bundesberggesetz</w:t>
      </w:r>
    </w:p>
    <w:p>
      <w:r>
        <w:rPr>
          <w:color w:val="555555"/>
          <w:sz w:val="18"/>
        </w:rPr>
        <w:t xml:space="preserve">Stand: 10.06.2019 (konsolidierte Textfassung, kein amtliches Inkrafttretensdatum)</w:t>
      </w:r>
    </w:p>
    <w:p>
      <w:r>
        <w:t xml:space="preserve">(1) Soweit ein vorbeugender Schutz durch Maßnahmen nach § 110 nicht ausreicht, sind bauliche Anlagen mit den zur Sicherung gegen Bergschäden jeweils erforderlichen zusätzlichen baulichen Vorkehrungen (Sicherungsmaßnahmen) auf Grund eines entsprechenden Verlangens des Unternehmers zu errichten. Die Sicherungsmaßnahmen richten sich nach Art und Umfang der zu erwartenden Bodenverformungen und nach Bauart, Größe, Form und Bergschadensempfindlichkeit der baulichen Anlage. Satz 1 und 2 gilt bei einer Erweiterung oder wesentlichen Veränderung baulicher Anlagen entsprechend.</w:t>
      </w:r>
    </w:p>
    <w:p>
      <w:r>
        <w:t xml:space="preserve">(2) Die Aufwendungen für Sicherungsmaßnahmen hat der Unternehmer zu tragen. Ist der Bauherr seiner Verpflichtung nach § 110 Abs. 1 ganz oder teilweise nicht nachgekommen, so trägt er den auf seinem Unterlassen beruhenden Teil der Aufwendungen für Sicherungsmaßnahmen.</w:t>
      </w:r>
    </w:p>
    <w:p>
      <w:r>
        <w:t xml:space="preserve">(3) § 110 Abs. 2, 4 und 5 gilt entsprechend.</w:t>
      </w:r>
    </w:p>
    <w:p>
      <w:r>
        <w:rPr>
          <w:color w:val="555555"/>
          <w:sz w:val="17"/>
        </w:rPr>
        <w:t xml:space="preserve">Zitiervorschlag: § 111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