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BBergG — Entschädigung</w:t>
      </w:r>
    </w:p>
    <w:p>
      <w:r>
        <w:rPr>
          <w:color w:val="555555"/>
          <w:sz w:val="18"/>
        </w:rPr>
        <w:t xml:space="preserve">Bundesberggesetz</w:t>
      </w:r>
    </w:p>
    <w:p>
      <w:r>
        <w:rPr>
          <w:color w:val="555555"/>
          <w:sz w:val="18"/>
        </w:rPr>
        <w:t xml:space="preserve">Stand: 10.06.2019 (konsolidierte Textfassung, kein amtliches Inkrafttretensdatum)</w:t>
      </w:r>
    </w:p>
    <w:p>
      <w:r>
        <w:t xml:space="preserve">(1) Tritt wegen Versagung der Zustimmung nach § 108 Abs. 2 eine nicht nur unwesentliche Wertminderung des Grundstücks ein, so ist dem Grundstückseigentümer eine angemessene Entschädigung in Geld zu leisten. Der Grundstückseigentümer kann ferner angemessene Entschädigung in Geld verlangen, soweit durch die Versagung der baurechtlichen Genehmigung Aufwendungen für Vorbereitungen zur Nutzung seines Grundstücks an Wert verlieren, die er im Vertrauen auf den Fortbestand der baulichen Nutzungsmöglichkeiten vor Erlaß der Rechtsverordnung nach § 107 Abs. 1 gemacht hat.</w:t>
      </w:r>
    </w:p>
    <w:p>
      <w:r>
        <w:t xml:space="preserve">(2) Ist dem Grundstückseigentümer wirtschaftlich nicht mehr zuzumuten, das Grundstück zu behalten oder es in der bisherigen oder in einer anderen zulässigen Art zu nutzen, kann er anstelle der Entschädigung nach Absatz 1 die Übernahme des Grundstücks verlangen.</w:t>
      </w:r>
    </w:p>
    <w:p>
      <w:r>
        <w:t xml:space="preserve">(3) Zur Leistung der Entschädigung ist der durch die Baubeschränkung begünstigte Unternehmer verpflichtet. Die §§ 84 bis 90 gelten mit der Maßgabe entsprechend, daß Verkehrswert mindestens der Wert ist, der für das Grundstück ohne die Versagung der baurechtlichen Genehmigung gelten würde.</w:t>
      </w:r>
    </w:p>
    <w:p>
      <w:r>
        <w:t xml:space="preserve">(4) Kommt eine Einigung über die Entschädigung nicht zustande, so entscheidet die zuständige Behörde.</w:t>
      </w:r>
    </w:p>
    <w:p>
      <w:r>
        <w:t xml:space="preserve">(5) Tritt bereits als Folge der Festsetzung eines Baubeschränkungsgebiets eine nicht nur unwesentliche Wertminderung eines Grundstücks ein, so kann der Grundstückseigentümer Entschädigung durch Übernahme des Grundstücks verlangen. Die Absätze 3 und 4 gelten entsprechend.</w:t>
      </w:r>
    </w:p>
    <w:p>
      <w:r>
        <w:rPr>
          <w:color w:val="555555"/>
          <w:sz w:val="17"/>
        </w:rPr>
        <w:t xml:space="preserve">Zitiervorschlag: § 109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