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BBergG — Festsetzung von Baubeschränkungsgebieten</w:t>
      </w:r>
    </w:p>
    <w:p>
      <w:r>
        <w:rPr>
          <w:color w:val="555555"/>
          <w:sz w:val="18"/>
        </w:rPr>
        <w:t xml:space="preserve">Bundesberggesetz</w:t>
      </w:r>
    </w:p>
    <w:p>
      <w:r>
        <w:rPr>
          <w:color w:val="555555"/>
          <w:sz w:val="18"/>
        </w:rPr>
        <w:t xml:space="preserve">Stand: 10.06.2019 (konsolidierte Textfassung, kein amtliches Inkrafttretensdatum)</w:t>
      </w:r>
    </w:p>
    <w:p>
      <w:r>
        <w:t xml:space="preserve">(1) Soweit Grundstücke für die Aufsuchung und Gewinnung von Bodenschätzen in Anspruch genommen werden sollen, kann die Landesregierung durch Rechtsverordnung Baubeschränkungsgebiete festsetzen, wenn die Inanspruchnahme wegen der volkswirtschaftlichen Bedeutung der Bodenschätze für die Versorgung des Marktes mit Rohstoffen und wegen der Notwendigkeit einer umfassenden Nutzung der Lagerstätte dem Wohle der Allgemeinheit dient; die Landesregierung kann diese Ermächtigung durch Rechtsverordnung auf andere Stellen übertragen. Die Festsetzung ist nicht zulässig, wenn die bergbauliche Inanspruchnahme der Grundstücke nicht innerhalb von fünfzehn Jahren zu erwarten ist.</w:t>
      </w:r>
    </w:p>
    <w:p>
      <w:r>
        <w:t xml:space="preserve">(2) Karten und Pläne, die Bestandteil der Rechtsverordnung nach Absatz 1 Satz 1 sind, können dadurch verkündet werden, daß sie bei einer Amtsstelle zu jedermanns Einsicht archivmäßig gesichert niedergelegt werden. In der Rechtsverordnung ist hierauf hinzuweisen.</w:t>
      </w:r>
    </w:p>
    <w:p>
      <w:r>
        <w:t xml:space="preserve">(3) Das vorgesehene Baubeschränkungsgebiet ist vor Erlaß einer Rechtsverordnung nach Absatz 1 Satz 1 in dem amtlichen Veröffentlichungsblatt der zuständigen obersten Landesbehörde bekanntzumachen. Die Rechtsverordnung darf erst drei Monate nach der Bekanntgabe erlassen werden.</w:t>
      </w:r>
    </w:p>
    <w:p>
      <w:r>
        <w:t xml:space="preserve">(4) Sind die Voraussetzungen für die Festsetzung eines Baubeschränkungsgebiets ganz oder teilweise entfallen, so ist das Baubeschränkungsgebiet durch Rechtsverordnung aufzuheben oder zu beschränken; Absatz 2 gilt entsprechend.</w:t>
      </w:r>
    </w:p>
    <w:p>
      <w:r>
        <w:rPr>
          <w:color w:val="555555"/>
          <w:sz w:val="17"/>
        </w:rPr>
        <w:t xml:space="preserve">Zitiervorschlag: § 107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