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BBergG — Entschädigung bei Aufhebung oder Änderung der vorzeitigen Besitzeinweisung</w:t>
      </w:r>
    </w:p>
    <w:p>
      <w:r>
        <w:rPr>
          <w:color w:val="555555"/>
          <w:sz w:val="18"/>
        </w:rPr>
        <w:t xml:space="preserve">Bundesberggesetz</w:t>
      </w:r>
    </w:p>
    <w:p>
      <w:r>
        <w:rPr>
          <w:color w:val="555555"/>
          <w:sz w:val="18"/>
        </w:rPr>
        <w:t xml:space="preserve">Stand: 10.06.2019 (konsolidierte Textfassung, kein amtliches Inkrafttretensdatum)</w:t>
      </w:r>
    </w:p>
    <w:p>
      <w:r>
        <w:t xml:space="preserve">(1) Wird die vorzeitige Besitzeinweisung aufgehoben oder die Entscheidung über die Besitzeinweisung geändert, so hat der Grundabtretungsbegünstigte</w:t>
      </w:r>
    </w:p>
    <w:p>
      <w:pPr>
        <w:ind w:left="420"/>
      </w:pPr>
      <w:r>
        <w:t xml:space="preserve">1. im Falle der Aufhebung für die durch die vorzeitige Besitzeinweisung entstandenen,</w:t>
      </w:r>
    </w:p>
    <w:p>
      <w:pPr>
        <w:ind w:left="420"/>
      </w:pPr>
      <w:r>
        <w:t xml:space="preserve">2. im Falle der Änderung der Entscheidung über die Besitzeinweisung für die in bezug auf die Änderung entstandenen,</w:t>
      </w:r>
    </w:p>
    <w:p>
      <w:r>
        <w:t xml:space="preserve">durch die Besitzeinweisungsentschädigung nicht abgegoltenen Vermögensnachteile eine Entschädigung in Geld zu leisten. An Stelle der Entschädigung in Geld hat der Grundabtretungsbegünstigte auf Verlangen der von der vorzeitigen Besitzeinweisung Betroffenen den früheren Zustand wiederherzustellen, es sei denn, daß die Wiederherstellung mit unzumutbaren Aufwendungen verbunden ist oder die zuständige Behörde eine vom früheren Zustand abweichende Wiedernutzbarmachung der Oberfläche angeordnet hat.</w:t>
      </w:r>
    </w:p>
    <w:p>
      <w:r>
        <w:t xml:space="preserve">(2) Kommt eine Einigung nicht zustande, hat die zuständige Behörde auf Antrag die Höhe der Entschädigung festzusetzen und, wenn die Wiederherstellung des früheren Zustandes zulässigerweise verlangt wird, die Verpflichtung hierzu auszusprechen.</w:t>
      </w:r>
    </w:p>
    <w:p>
      <w:r>
        <w:rPr>
          <w:color w:val="555555"/>
          <w:sz w:val="17"/>
        </w:rPr>
        <w:t xml:space="preserve">Zitiervorschlag: § 102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