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BBergG — Aufhebung und Änderung der vorzeitigen Besitzeinweisung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vorzeitige Besitzeinweisung ist aufzuheben, wenn</w:t>
      </w:r>
    </w:p>
    <w:p>
      <w:pPr>
        <w:ind w:left="420"/>
      </w:pPr>
      <w:r>
        <w:t xml:space="preserve">1. die für die Besitzeinweisung nach § 97 erforderlichen Voraussetzungen nicht mehr gegeben sind,</w:t>
      </w:r>
    </w:p>
    <w:p>
      <w:pPr>
        <w:ind w:left="420"/>
      </w:pPr>
      <w:r>
        <w:t xml:space="preserve">2. der Antrag nach § 77 zurückgenommen worden ist oder</w:t>
      </w:r>
    </w:p>
    <w:p>
      <w:pPr>
        <w:ind w:left="420"/>
      </w:pPr>
      <w:r>
        <w:t xml:space="preserve">3. die Entscheidung über die Grundabtretung nicht innerhalb von zwei Jahren erlassen wird, nachdem die Besitzeinweisung wirksam geworden ist.</w:t>
      </w:r>
    </w:p>
    <w:p>
      <w:r>
        <w:t xml:space="preserve">(2) In den Fällen des Absatzes 1 Nr. 1 kann statt der Aufhebung der Besitzeinweisung die Entscheidung über die Besitzeinweisung geändert werden. Die in Absatz 1 Nr. 3 bestimmte Frist kann von der zuständigen Behörde um längstens ein weiteres Jahr verlängert werden, wenn die Entscheidung über den Antrag nach § 77 aus besonderen, durch das Verfahren bedingten Umständen nicht innerhalb dieser Frist ergehen kann.</w:t>
      </w:r>
    </w:p>
    <w:p>
      <w:r>
        <w:t xml:space="preserve">(3) Mit dem Zeitpunkt, in dem die Entscheidung über die Aufhebung der vorzeitigen Besitzeinweisung unanfechtbar wird, ist dem Grundabtretungsbegünstigten der Besitz entzogen und der vorherige Besitzer wieder Besitzer.</w:t>
      </w:r>
    </w:p>
    <w:p>
      <w:r>
        <w:rPr>
          <w:color w:val="555555"/>
          <w:sz w:val="17"/>
        </w:rPr>
        <w:t xml:space="preserve">Zitiervorschlag: § 101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