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BBergG — Wirksamwerden und Rechtsfolgen der vorzeitigen Besitzeinweisung, Sicherheitsleistung</w:t>
      </w:r>
    </w:p>
    <w:p>
      <w:r>
        <w:rPr>
          <w:color w:val="555555"/>
          <w:sz w:val="18"/>
        </w:rPr>
        <w:t xml:space="preserve">Bundesberggesetz</w:t>
      </w:r>
    </w:p>
    <w:p>
      <w:r>
        <w:rPr>
          <w:color w:val="555555"/>
          <w:sz w:val="18"/>
        </w:rPr>
        <w:t xml:space="preserve">Stand: 10.06.2019 (konsolidierte Textfassung, kein amtliches Inkrafttretensdatum)</w:t>
      </w:r>
    </w:p>
    <w:p>
      <w:r>
        <w:t xml:space="preserve">(1) Die Besitzeinweisung wird in dem von der zuständigen Behörde bezeichneten Zeitpunkt wirksam. In diesem Zeitpunkt wird dem Eigentümer des Grundstücks und, wenn ein anderer unmittelbarer Besitzer ist, auch diesem der Besitz entzogen und der Grundabtretungsbegünstigte Besitzer. Der Grundabtretungsbegünstigte darf auf dem Grundstück das im Grundabtretungsantrag bezeichnete Vorhaben ausführen und die dafür erforderlichen Maßnahmen treffen. Ein Recht zur Nutzung des Grundstücks wird durch die Besitzeinweisung insoweit ausgeschlossen, als die Ausübung der Nutzung mit dem Zweck der Besitzeinweisung nicht vereinbar ist.</w:t>
      </w:r>
    </w:p>
    <w:p>
      <w:r>
        <w:t xml:space="preserve">(2) Die vorzeitige Besitzeinweisung kann von der Leistung einer Sicherheit in Höhe der voraussichtlichen Entschädigung nach § 98 und von anderen Bedingungen abhängig gemacht werden. Auf Antrag des Inhabers eines Rechts, das zum Besitz oder zur Nutzung des Grundstücks berechtigt, ist die Einweisung von der Leistung einer Sicherheit in Höhe der ihm voraussichtlich zu gewährenden Entschädigung abhängig zu machen.</w:t>
      </w:r>
    </w:p>
    <w:p>
      <w:r>
        <w:rPr>
          <w:color w:val="555555"/>
          <w:sz w:val="17"/>
        </w:rPr>
        <w:t xml:space="preserve">Zitiervorschlag: § 100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