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BBergG — Zweck des Gesetzes</w:t>
      </w:r>
    </w:p>
    <w:p>
      <w:r>
        <w:rPr>
          <w:color w:val="555555"/>
          <w:sz w:val="18"/>
        </w:rPr>
        <w:t xml:space="preserve">Bundesberggesetz</w:t>
      </w:r>
    </w:p>
    <w:p>
      <w:r>
        <w:rPr>
          <w:color w:val="555555"/>
          <w:sz w:val="18"/>
        </w:rPr>
        <w:t xml:space="preserve">Stand: 10.06.2019 (konsolidierte Textfassung, kein amtliches Inkrafttretensdatum)</w:t>
      </w:r>
    </w:p>
    <w:p>
      <w:r>
        <w:t xml:space="preserve">Zweck dieses Gesetzes ist es,</w:t>
      </w:r>
    </w:p>
    <w:p>
      <w:pPr>
        <w:ind w:left="420"/>
      </w:pPr>
      <w:r>
        <w:t xml:space="preserve">1. zur Sicherung der Rohstoffversorgung das Aufsuchen, Gewinnen und Aufbereiten von Bodenschätzen unter Berücksichtigung ihrer Standortgebundenheit und des Lagerstättenschutzes bei sparsamem und schonendem Umgang mit Grund und Boden zu ordnen und zu fördern,</w:t>
      </w:r>
    </w:p>
    <w:p>
      <w:pPr>
        <w:ind w:left="420"/>
      </w:pPr>
      <w:r>
        <w:t xml:space="preserve">2. die Sicherheit der Betriebe und der Beschäftigten des Bergbaus zu gewährleisten sowie</w:t>
      </w:r>
    </w:p>
    <w:p>
      <w:pPr>
        <w:ind w:left="420"/>
      </w:pPr>
      <w:r>
        <w:t xml:space="preserve">3. die Vorsorge gegen Gefahren, die sich aus bergbaulicher Tätigkeit für Leben, Gesundheit und Sachgüter Dritter ergeben, zu verstärken und den Ausgleich unvermeidbarer Schäden zu verbessern.</w:t>
      </w:r>
    </w:p>
    <w:p>
      <w:r>
        <w:rPr>
          <w:color w:val="555555"/>
          <w:sz w:val="17"/>
        </w:rPr>
        <w:t xml:space="preserve">Zitiervorschlag: § 1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