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 BBauG — Schuldübergang</w:t>
      </w:r>
    </w:p>
    <w:p>
      <w:r>
        <w:rPr>
          <w:color w:val="555555"/>
          <w:sz w:val="18"/>
        </w:rPr>
        <w:t xml:space="preserve">Baugesetzbuch</w:t>
      </w:r>
    </w:p>
    <w:p>
      <w:r>
        <w:rPr>
          <w:color w:val="555555"/>
          <w:sz w:val="18"/>
        </w:rPr>
        <w:t xml:space="preserve">Stand: 10.06.2019 (konsolidierte Textfassung, kein amtliches Inkrafttretensdatum)</w:t>
      </w:r>
    </w:p>
    <w:p>
      <w:r>
        <w:t xml:space="preserve">(1) Haftet bei einer Hypothek, die aufrechterhalten oder durch ein neues Recht an einem anderen Grundstück ersetzt wird, der von der Enteignung Betroffene zugleich persönlich, so übernimmt der Enteignungsbegünstigte die Schuld in Höhe der Hypothek. Die §§ 415 und 416 des Bürgerlichen Gesetzbuchs gelten entsprechend; als Veräußerer im Sinne des § 416 ist der von der Enteignung Betroffene anzusehen.</w:t>
      </w:r>
    </w:p>
    <w:p>
      <w:r>
        <w:t xml:space="preserve">(2) Das Gleiche gilt, wenn bei einer Grundschuld oder Rentenschuld, die aufrechterhalten oder durch ein neues Recht an einem anderen Grundstück ersetzt wird, der von der Enteignung Betroffene zugleich persönlich haftet, sofern er spätestens in dem nach § 108 anzuberaumenden Termin die gegen ihn bestehende Forderung unter Angabe ihres Betrags und Grunds angemeldet und auf Verlangen der Enteignungsbehörde oder eines Beteiligten glaubhaft gemacht hat.</w:t>
      </w:r>
    </w:p>
    <w:p>
      <w:r>
        <w:rPr>
          <w:color w:val="555555"/>
          <w:sz w:val="17"/>
        </w:rPr>
        <w:t xml:space="preserve">Zitiervorschlag: § 98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