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94 BBauG — Entschädigungsberechtigter und Entschädigungsverpflichteter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Entschädigung kann verlangen, wer in seinem Recht durch die Enteignung beeinträchtigt wird und dadurch einen Vermögensnachteil erleidet.</w:t>
      </w:r>
    </w:p>
    <w:p>
      <w:r>
        <w:t xml:space="preserve">(2) Zur Leistung der Entschädigung ist der Enteignungsbegünstigte verpflichtet. Wird Ersatzland enteignet, so ist zur Entschädigung derjenige verpflichtet, der dieses Ersatzland für das zu enteignende Grundstück beschaffen muss.</w:t>
      </w:r>
    </w:p>
    <w:p>
      <w:r>
        <w:rPr>
          <w:color w:val="555555"/>
          <w:sz w:val="17"/>
        </w:rPr>
        <w:t xml:space="preserve">Zitiervorschlag: § 94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https://recht.nulegal.eu/gesetze/BBauG/94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94 BBauG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