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BBauG — Ersatz für entzogene Rechte</w:t>
      </w:r>
    </w:p>
    <w:p>
      <w:r>
        <w:rPr>
          <w:color w:val="555555"/>
          <w:sz w:val="18"/>
        </w:rPr>
        <w:t xml:space="preserve">Baugesetzbuch</w:t>
      </w:r>
    </w:p>
    <w:p>
      <w:r>
        <w:rPr>
          <w:color w:val="555555"/>
          <w:sz w:val="18"/>
        </w:rPr>
        <w:t xml:space="preserve">Stand: 10.06.2019 (konsolidierte Textfassung, kein amtliches Inkrafttretensdatum)</w:t>
      </w:r>
    </w:p>
    <w:p>
      <w:r>
        <w:t xml:space="preserve">Die Enteignung zu dem Zweck, durch Enteignung entzogene Rechte durch neue Rechte zu ersetzen, ist nur zulässig, soweit der Ersatz in den Vorschriften des Zweiten Abschnitts vorgesehen ist. Für den Ersatz entzogener Rechte durch neue Rechte im Wege der Enteignung nach § 97 Absatz 2 Satz 3 gelten die in § 90 Absatz 1 und 2 für die Enteignung zur Entschädigung in Land getroffenen Vorschriften entsprechend.</w:t>
      </w:r>
    </w:p>
    <w:p>
      <w:r>
        <w:rPr>
          <w:color w:val="555555"/>
          <w:sz w:val="17"/>
        </w:rPr>
        <w:t xml:space="preserve">Zitiervorschlag: § 91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