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88 BBauG — Enteignung aus zwingenden städtebaulichen Gründen</w:t>
      </w:r>
    </w:p>
    <w:p>
      <w:r>
        <w:rPr>
          <w:color w:val="555555"/>
          <w:sz w:val="18"/>
        </w:rPr>
        <w:t xml:space="preserve">Baugesetzbuch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Wird die Enteignung eines Grundstücks von der Gemeinde zu den in § 85 Absatz 1 Nummer 1 und 2 bezeichneten Zwecken aus zwingenden städtebaulichen Gründen beantragt, so genügt anstelle des § 87 Absatz 2 der Nachweis, dass die Gemeinde sich ernsthaft um den freihändigen Erwerb dieses Grundstücks zu angemessenen Bedingungen vergeblich bemüht hat. Satz 1 ist entsprechend anzuwenden, wenn die Enteignung eines im förmlich festgelegten Sanierungsgebiet gelegenen Grundstücks zugunsten der Gemeinde oder eines Sanierungsträgers beantragt wird.</w:t>
      </w:r>
    </w:p>
    <w:p>
      <w:r>
        <w:rPr>
          <w:color w:val="555555"/>
          <w:sz w:val="17"/>
        </w:rPr>
        <w:t xml:space="preserve">Zitiervorschlag: § 88 BBauG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https://recht.nulegal.eu/gesetze/BBauG/88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