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BBauG — Berichtigung der öffentlichen Bücher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Gemeinde übersendet dem Grundbuchamt und der für die Führung des Liegenschaftskatasters zuständigen Stelle eine beglaubigte Abschrift des Beschlusses über die vereinfachte Umlegung, teilt den Zeitpunkt der Bekanntmachung nach § 83 Absatz 1 mit und ersucht diese, die Rechtsänderungen in das Grundbuch und in das Liegenschaftskataster einzutragen. § 74 Absatz 2 gilt entsprechend.</w:t>
      </w:r>
    </w:p>
    <w:p>
      <w:r>
        <w:t xml:space="preserve">(2) Für die Kosten der vereinfachten Umlegung gelten die §§ 78 und 79 entsprechend.</w:t>
      </w:r>
    </w:p>
    <w:p>
      <w:r>
        <w:rPr>
          <w:color w:val="555555"/>
          <w:sz w:val="17"/>
        </w:rPr>
        <w:t xml:space="preserve">Zitiervorschlag: § 84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