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79 BBauG — Abgaben- und Auslagenbefreiung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Geschäfte und Verhandlungen, die der Durchführung oder Vermeidung der Umlegung dienen, einschließlich der Berichtigung der öffentlichen Bücher, sind frei von Gebühren und ähnlichen nichtsteuerlichen Abgaben sowie von Auslagen; dies gilt nicht für die Kosten eines Rechtsstreits. Unberührt bleiben Regelungen nach landesrechtlichen Vorschriften.</w:t>
      </w:r>
    </w:p>
    <w:p>
      <w:r>
        <w:t xml:space="preserve">(2) Die Abgabenfreiheit ist von der zuständigen Behörde ohne Nachprüfung anzuerkennen, wenn die Umlegungsstelle versichert, dass ein Geschäft oder eine Verhandlung der Durchführung oder Vermeidung der Umlegung dient.</w:t>
      </w:r>
    </w:p>
    <w:p>
      <w:r>
        <w:rPr>
          <w:color w:val="555555"/>
          <w:sz w:val="17"/>
        </w:rPr>
        <w:t xml:space="preserve">Zitiervorschlag: § 79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https://recht.nulegal.eu/gesetze/BBauG/79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