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 BBauG — Berichtigung der öffentlichen Bücher</w:t>
      </w:r>
    </w:p>
    <w:p>
      <w:r>
        <w:rPr>
          <w:color w:val="555555"/>
          <w:sz w:val="18"/>
        </w:rPr>
        <w:t xml:space="preserve">Baugesetzbuch</w:t>
      </w:r>
    </w:p>
    <w:p>
      <w:r>
        <w:rPr>
          <w:color w:val="555555"/>
          <w:sz w:val="18"/>
        </w:rPr>
        <w:t xml:space="preserve">Stand: 10.06.2019 (konsolidierte Textfassung, kein amtliches Inkrafttretensdatum)</w:t>
      </w:r>
    </w:p>
    <w:p>
      <w:r>
        <w:t xml:space="preserve">(1) Die Umlegungsstelle übersendet dem Grundbuchamt und der für die Führung des Liegenschaftskatasters zuständigen Stelle eine beglaubigte Abschrift der Bekanntmachung nach § 71 sowie eine beglaubigte Ausfertigung des Umlegungsplans und ersucht diese, die Rechtsänderungen in das Grundbuch und in das Liegenschaftskataster einzutragen sowie den Umlegungsvermerk im Grundbuch zu löschen. Dies gilt auch für außerhalb des Umlegungsgebiets zugeteilte Grundstücke.</w:t>
      </w:r>
    </w:p>
    <w:p>
      <w:r>
        <w:t xml:space="preserve">(2) Bis zur Berichtigung des Liegenschaftskatasters dienen die Umlegungskarte und das Umlegungsverzeichnis als amtliches Verzeichnis der Grundstücke im Sinne des § 2 Absatz 2 der Grundbuchordnung, wenn die für die Führung des Liegenschaftskatasters zuständige Stelle auf diesen Urkunden bescheinigt hat, dass sie nach Form und Inhalt zur Übernahme in das Liegenschaftskataster geeignet sind. Diese Bescheinigung ist nicht erforderlich, wenn die Flurbereinigungsbehörde die Umlegungskarte und das Umlegungsverzeichnis gefertigt hat (§ 46 Absatz 2 Nummer 5 und Absatz 4).</w:t>
      </w:r>
    </w:p>
    <w:p>
      <w:r>
        <w:rPr>
          <w:color w:val="555555"/>
          <w:sz w:val="17"/>
        </w:rPr>
        <w:t xml:space="preserve">Zitiervorschlag: § 74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