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BBauG — Änderung des Umlegungsplans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Umlegungsstelle kann den Umlegungsplan auch nach Eintritt der Unanfechtbarkeit ändern, wenn</w:t>
      </w:r>
    </w:p>
    <w:p>
      <w:pPr>
        <w:ind w:left="420"/>
      </w:pPr>
      <w:r>
        <w:t xml:space="preserve">1. der Bebauungsplan geändert wird,</w:t>
      </w:r>
    </w:p>
    <w:p>
      <w:pPr>
        <w:ind w:left="420"/>
      </w:pPr>
      <w:r>
        <w:t xml:space="preserve">2. eine rechtskräftige Entscheidung eines Gerichts die Änderung notwendig macht oder</w:t>
      </w:r>
    </w:p>
    <w:p>
      <w:pPr>
        <w:ind w:left="420"/>
      </w:pPr>
      <w:r>
        <w:t xml:space="preserve">3. die Beteiligten mit der Änderung einverstanden sind.</w:t>
      </w:r>
    </w:p>
    <w:p>
      <w:r>
        <w:rPr>
          <w:color w:val="555555"/>
          <w:sz w:val="17"/>
        </w:rPr>
        <w:t xml:space="preserve">Zitiervorschlag: § 73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