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BBauG — Wirkungen der Bekanntmachung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der Bekanntmachung nach § 71 wird der bisherige Rechtszustand durch den in dem Umlegungsplan vorgesehenen neuen Rechtszustand ersetzt. Die Bekanntmachung schließt die Einweisung der neuen Eigentümer in den Besitz der zugeteilten Grundstücke ein.</w:t>
      </w:r>
    </w:p>
    <w:p>
      <w:r>
        <w:t xml:space="preserve">(2) Die Gemeinde hat den Umlegungsplan zu vollziehen, sobald seine Unanfechtbarkeit nach § 71 bekannt gemacht worden ist. Sie hat den Beteiligten die neuen Besitz- und Nutzungsrechte, erforderlichenfalls mit den Mitteln des Verwaltungszwangs, zu verschaffen.</w:t>
      </w:r>
    </w:p>
    <w:p>
      <w:r>
        <w:rPr>
          <w:color w:val="555555"/>
          <w:sz w:val="17"/>
        </w:rPr>
        <w:t xml:space="preserve">Zitiervorschlag: § 72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