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67 BBauG — Umlegungskarte</w:t>
      </w:r>
    </w:p>
    <w:p>
      <w:r>
        <w:rPr>
          <w:color w:val="555555"/>
          <w:sz w:val="18"/>
        </w:rPr>
        <w:t xml:space="preserve">Baugesetzbuch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Umlegungskarte stellt den künftigen Zustand des Umlegungsgebiets dar. In die Karte sind insbesondere die neuen Grundstücksgrenzen und -bezeichnungen sowie die Flächen im Sinne des § 55 Absatz 2 einzutragen.</w:t>
      </w:r>
    </w:p>
    <w:p>
      <w:r>
        <w:rPr>
          <w:color w:val="555555"/>
          <w:sz w:val="17"/>
        </w:rPr>
        <w:t xml:space="preserve">Zitiervorschlag: § 67 BBauG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https://recht.nulegal.eu/gesetze/BBauG/67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