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BBauG — Aufstellung und Inhalt des Umlegungsplans</w:t>
      </w:r>
    </w:p>
    <w:p>
      <w:r>
        <w:rPr>
          <w:color w:val="555555"/>
          <w:sz w:val="18"/>
        </w:rPr>
        <w:t xml:space="preserve">Baugesetzbuch</w:t>
      </w:r>
    </w:p>
    <w:p>
      <w:r>
        <w:rPr>
          <w:color w:val="555555"/>
          <w:sz w:val="18"/>
        </w:rPr>
        <w:t xml:space="preserve">Stand: 10.06.2019 (konsolidierte Textfassung, kein amtliches Inkrafttretensdatum)</w:t>
      </w:r>
    </w:p>
    <w:p>
      <w:r>
        <w:t xml:space="preserve">(1) Der Umlegungsplan ist von der Umlegungsstelle nach Erörterung mit den Eigentümern durch Beschluss aufzustellen. Er kann auch für Teile des Umlegungsgebiets aufgestellt werden (Teilumlegungsplan).</w:t>
      </w:r>
    </w:p>
    <w:p>
      <w:r>
        <w:t xml:space="preserve">(2) Aus dem Umlegungsplan muss der in Aussicht genommene Neuzustand mit allen tatsächlichen und rechtlichen Änderungen hervorgehen, die die im Umlegungsgebiet gelegenen Grundstücke erfahren. Der Umlegungsplan muss nach Form und Inhalt zur Übernahme in das Liegenschaftskataster geeignet sein.</w:t>
      </w:r>
    </w:p>
    <w:p>
      <w:r>
        <w:t xml:space="preserve">(3) Der Umlegungsplan besteht aus der Umlegungskarte und dem Umlegungsverzeichnis.</w:t>
      </w:r>
    </w:p>
    <w:p>
      <w:r>
        <w:rPr>
          <w:color w:val="555555"/>
          <w:sz w:val="17"/>
        </w:rPr>
        <w:t xml:space="preserve">Zitiervorschlag: § 66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