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BBauG — Beteiligte</w:t>
      </w:r>
    </w:p>
    <w:p>
      <w:r>
        <w:rPr>
          <w:color w:val="555555"/>
          <w:sz w:val="18"/>
        </w:rPr>
        <w:t xml:space="preserve">Baugesetzbuch</w:t>
      </w:r>
    </w:p>
    <w:p>
      <w:r>
        <w:rPr>
          <w:color w:val="555555"/>
          <w:sz w:val="18"/>
        </w:rPr>
        <w:t xml:space="preserve">Stand: 10.06.2019 (konsolidierte Textfassung, kein amtliches Inkrafttretensdatum)</w:t>
      </w:r>
    </w:p>
    <w:p>
      <w:r>
        <w:t xml:space="preserve">(1) Im Umlegungsverfahren sind Beteiligte</w:t>
      </w:r>
    </w:p>
    <w:p>
      <w:pPr>
        <w:ind w:left="420"/>
      </w:pPr>
      <w:r>
        <w:t xml:space="preserve">1. die Eigentümer der im Umlegungsgebiet gelegenen Grundstücke,</w:t>
      </w:r>
    </w:p>
    <w:p>
      <w:pPr>
        <w:ind w:left="420"/>
      </w:pPr>
      <w:r>
        <w:t xml:space="preserve">2. die Inhaber eines im Grundbuch eingetragenen oder durch Eintragung gesicherten Rechts an einem im Umlegungsgebiet gelegenen Grundstück oder an einem das Grundstück belastenden Recht,</w:t>
      </w:r>
    </w:p>
    <w:p>
      <w:pPr>
        <w:ind w:left="420"/>
      </w:pPr>
      <w:r>
        <w:t xml:space="preserve">3. die Inhaber eines nicht im Grundbuch eingetragenen Rechts an dem Grundstück oder an einem das Grundstück belastenden Recht, eines Anspruchs mit dem Recht auf Befriedigung aus dem Grundstück oder eines persönlichen Rechts, das zum Erwerb, zum Besitz oder zur Nutzung des Grundstücks berechtigt oder den Verpflichteten in der Benutzung des Grundstücks beschränkt,</w:t>
      </w:r>
    </w:p>
    <w:p>
      <w:pPr>
        <w:ind w:left="420"/>
      </w:pPr>
      <w:r>
        <w:t xml:space="preserve">4. die Gemeinde,</w:t>
      </w:r>
    </w:p>
    <w:p>
      <w:pPr>
        <w:ind w:left="420"/>
      </w:pPr>
      <w:r>
        <w:t xml:space="preserve">5. unter den Voraussetzungen des § 55 Absatz 5 die Bedarfsträger und</w:t>
      </w:r>
    </w:p>
    <w:p>
      <w:pPr>
        <w:ind w:left="420"/>
      </w:pPr>
      <w:r>
        <w:t xml:space="preserve">6. die Erschließungsträger.</w:t>
      </w:r>
    </w:p>
    <w:p>
      <w:r>
        <w:t xml:space="preserve">(2) Die in Absatz 1 Nummer 3 bezeichneten Personen werden zu dem Zeitpunkt Beteiligte, in dem die Anmeldung ihres Rechts der Umlegungsstelle zugeht. Die Anmeldung kann bis zur Beschlussfassung über den Umlegungsplan (§ 66 Absatz 1) erfolgen.</w:t>
      </w:r>
    </w:p>
    <w:p>
      <w:r>
        <w:t xml:space="preserve">(3) Bestehen Zweifel an einem angemeldeten Recht, so hat die Umlegungsstelle dem Anmeldenden unverzüglich eine Frist zur Glaubhaftmachung seines Rechts zu setzen. Nach fruchtlosem Ablauf der Frist ist er bis zur Glaubhaftmachung seines Rechts nicht mehr zu beteiligen.</w:t>
      </w:r>
    </w:p>
    <w:p>
      <w:r>
        <w:t xml:space="preserve">(4) Der im Grundbuch eingetragene Gläubiger einer Hypothek, Grundschuld oder Rentenschuld, für die ein Brief erteilt ist, sowie jeder seiner Rechtsnachfolger hat auf Verlangen der Umlegungsstelle eine Erklärung darüber abzugeben, ob ein anderer die Hypothek, Grundschuld oder Rentenschuld oder ein Recht daran erworben hat; die Person des Erwerbers hat er dabei zu bezeichnen. § 208 Satz 2 bis 4 gilt entsprechend.</w:t>
      </w:r>
    </w:p>
    <w:p>
      <w:r>
        <w:rPr>
          <w:color w:val="555555"/>
          <w:sz w:val="17"/>
        </w:rPr>
        <w:t xml:space="preserve">Zitiervorschlag: § 48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