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BBauG — Umlegungsbeschluss</w:t>
      </w:r>
    </w:p>
    <w:p>
      <w:r>
        <w:rPr>
          <w:color w:val="555555"/>
          <w:sz w:val="18"/>
        </w:rPr>
        <w:t xml:space="preserve">Baugesetzbuch</w:t>
      </w:r>
    </w:p>
    <w:p>
      <w:r>
        <w:rPr>
          <w:color w:val="555555"/>
          <w:sz w:val="18"/>
        </w:rPr>
        <w:t xml:space="preserve">Stand: 10.06.2019 (konsolidierte Textfassung, kein amtliches Inkrafttretensdatum)</w:t>
      </w:r>
    </w:p>
    <w:p>
      <w:r>
        <w:t xml:space="preserve">(1) Die Umlegung wird nach Anhörung der Eigentümer durch einen Beschluss der Umlegungsstelle eingeleitet. Im Umlegungsbeschluss ist das Umlegungsgebiet (§ 52) zu bezeichnen. Die im Umlegungsgebiet gelegenen Grundstücke sind einzeln aufzuführen.</w:t>
      </w:r>
    </w:p>
    <w:p>
      <w:r>
        <w:t xml:space="preserve">(2) Soll die Umlegung für den Geltungsbereich eines Bebauungsplans eingeleitet werden, kann das Umlegungsverfahren auch eingeleitet werden, wenn der Bebauungsplan noch nicht aufgestellt ist. In diesem Falle muss der Bebauungsplan vor dem Beschluss über die Aufstellung des Umlegungsplans (§ 66 Absatz 1) in Kraft getreten sein.</w:t>
      </w:r>
    </w:p>
    <w:p>
      <w:r>
        <w:rPr>
          <w:color w:val="555555"/>
          <w:sz w:val="17"/>
        </w:rPr>
        <w:t xml:space="preserve">Zitiervorschlag: § 47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