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BBauG — Entschädigung bei Begründung von Geh-, Fahr- und Leitungsrechten und bei Bindungen für Bepflanzungen</w:t>
      </w:r>
    </w:p>
    <w:p>
      <w:r>
        <w:rPr>
          <w:color w:val="555555"/>
          <w:sz w:val="18"/>
        </w:rPr>
        <w:t xml:space="preserve">Baugesetzbuch</w:t>
      </w:r>
    </w:p>
    <w:p>
      <w:r>
        <w:rPr>
          <w:color w:val="555555"/>
          <w:sz w:val="18"/>
        </w:rPr>
        <w:t xml:space="preserve">Stand: 10.06.2019 (konsolidierte Textfassung, kein amtliches Inkrafttretensdatum)</w:t>
      </w:r>
    </w:p>
    <w:p>
      <w:r>
        <w:t xml:space="preserve">(1) Sind im Bebauungsplan Flächen festgesetzt, die mit Geh-, Fahr- und Leitungsrechten zu belasten sind, kann der Eigentümer unter den Voraussetzungen des § 40 Absatz 2 verlangen, dass an diesen Flächen einschließlich der für die Leitungsführungen erforderlichen Schutzstreifen das Recht zugunsten des in § 44 Absatz 1 und 2 Bezeichneten begründet wird. Dies gilt nicht für die Verpflichtung zur Duldung solcher örtlichen Leitungen, die der Erschließung und Versorgung des Grundstücks dienen. Weitergehende Rechtsvorschriften, nach denen der Eigentümer zur Duldung von Versorgungsleitungen verpflichtet ist, bleiben unberührt.</w:t>
      </w:r>
    </w:p>
    <w:p>
      <w:r>
        <w:t xml:space="preserve">(2) Sind im Bebauungsplan Bindungen für Bepflanzungen und für die Erhaltung von Bäumen, Sträuchern, sonstigen Bepflanzungen und Gewässern sowie das Anpflanzen von Bäumen, Sträuchern und sonstigen Bepflanzungen festgesetzt, ist dem Eigentümer eine angemessene Entschädigung in Geld zu leisten, wenn und soweit infolge dieser Festsetzungen</w:t>
      </w:r>
    </w:p>
    <w:p>
      <w:pPr>
        <w:ind w:left="420"/>
      </w:pPr>
      <w:r>
        <w:t xml:space="preserve">1. besondere Aufwendungen notwendig sind, die über das bei ordnungsgemäßer Bewirtschaftung erforderliche Maß hinausgehen, oder</w:t>
      </w:r>
    </w:p>
    <w:p>
      <w:pPr>
        <w:ind w:left="420"/>
      </w:pPr>
      <w:r>
        <w:t xml:space="preserve">2. eine wesentliche Wertminderung des Grundstücks eintritt.</w:t>
      </w:r>
    </w:p>
    <w:p>
      <w:r>
        <w:rPr>
          <w:color w:val="555555"/>
          <w:sz w:val="17"/>
        </w:rPr>
        <w:t xml:space="preserve">Zitiervorschlag: § 41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