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BBauG — Vertrauensschaden</w:t>
      </w:r>
    </w:p>
    <w:p>
      <w:r>
        <w:rPr>
          <w:color w:val="555555"/>
          <w:sz w:val="18"/>
        </w:rPr>
        <w:t xml:space="preserve">Baugesetzbuch</w:t>
      </w:r>
    </w:p>
    <w:p>
      <w:r>
        <w:rPr>
          <w:color w:val="555555"/>
          <w:sz w:val="18"/>
        </w:rPr>
        <w:t xml:space="preserve">Stand: 10.06.2019 (konsolidierte Textfassung, kein amtliches Inkrafttretensdatum)</w:t>
      </w:r>
    </w:p>
    <w:p>
      <w:r>
        <w:t xml:space="preserve">Haben Eigentümer oder in Ausübung ihrer Nutzungsrechte sonstige Nutzungsberechtigte im berechtigten Vertrauen auf den Bestand eines rechtsverbindlichen Bebauungsplans Vorbereitungen für die Verwirklichung von Nutzungsmöglichkeiten getroffen, die sich aus dem Bebauungsplan ergeben, können sie angemessene Entschädigung in Geld verlangen, soweit die Aufwendungen durch die Änderung, Ergänzung oder Aufhebung des Bebauungsplans an Wert verlieren. Dies gilt auch für Abgaben nach bundes- oder landesrechtlichen Vorschriften, die für die Erschließung des Grundstücks erhoben wurden.</w:t>
      </w:r>
    </w:p>
    <w:p>
      <w:r>
        <w:rPr>
          <w:color w:val="555555"/>
          <w:sz w:val="17"/>
        </w:rPr>
        <w:t xml:space="preserve">Zitiervorschlag: § 39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