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BBauG — Außenbereichsvorhaben zur Herstellung oder Lagerung von Produkten zur Landesverteidigung</w:t>
      </w:r>
    </w:p>
    <w:p>
      <w:r>
        <w:rPr>
          <w:color w:val="555555"/>
          <w:sz w:val="18"/>
        </w:rPr>
        <w:t xml:space="preserve">Baugesetzbuch</w:t>
      </w:r>
    </w:p>
    <w:p>
      <w:r>
        <w:rPr>
          <w:color w:val="555555"/>
          <w:sz w:val="18"/>
        </w:rPr>
        <w:t xml:space="preserve">Stand: 30.10.2025 (konsolidierte Textfassung, kein amtliches Inkrafttretensdatum)</w:t>
      </w:r>
    </w:p>
    <w:p>
      <w:r>
        <w:t xml:space="preserve">(1) Vorhaben, die der Herstellung oder Lagerung von Produkten zur Landesverteidigung, insbesondere von Munition, Sprengstoffen und deren Vorprodukten, dienen und deren Erforderlichkeit für die Einsatzfähigkeit und Versorgungssicherheit der Bundeswehr durch eine Erklärung des Bundesministeriums der Verteidigung bestätigt wird, sind, auch sofern sie nicht von § 35 Absatz 1 Nummer 4 erfasst sind, im Außenbereich zulässig, wenn öffentliche Belange nicht entgegenstehen und die Erschließung gesichert ist. Die Erklärung nach Satz 1 ist unanfechtbar; auf ihre Abgabe besteht kein Anspruch. § 35 Absatz 5 Satz 1 bis 3 ist anzuwenden.</w:t>
      </w:r>
    </w:p>
    <w:p>
      <w:r>
        <w:t xml:space="preserve">(2) Über die Zulässigkeit von Vorhaben nach Absatz 1 entscheidet die höhere Verwaltungsbehörde im Einvernehmen mit der Gemeinde. Lehnt die höhere Verwaltungsbehörde das Vorhaben ab oder versagt die Gemeinde das nach Satz 1 oder nach § 14 Absatz 2 Satz 1 erforderliche Einvernehmen, entscheidet das Bundesministerium der Verteidigung im Benehmen mit der zuständigen obersten Landesbehörde; die Gemeinde ist anzuhören, wenn sie nicht bereits zuvor beteiligt war. § 36 Absatz 2 Satz 3 findet keine Anwendung.</w:t>
      </w:r>
    </w:p>
    <w:p>
      <w:r>
        <w:t xml:space="preserve">(3) § 37 Absatz 3 gilt entsprechend.</w:t>
      </w:r>
    </w:p>
    <w:p>
      <w:r>
        <w:t xml:space="preserve">(4) Die Absätze 1 bis 3 sind auch anzuwenden, wenn es um die Änderung oder Erweiterung von Vorhaben nach Absatz 1 geht, für die im bisherigen Außenbereich ein Bebauungsplan aufgestellt wurde. In diesen Fällen kann zugleich von Festsetzungen dieses Bebauungsplans befreit werden.</w:t>
      </w:r>
    </w:p>
    <w:p>
      <w:r>
        <w:rPr>
          <w:color w:val="555555"/>
          <w:sz w:val="17"/>
        </w:rPr>
        <w:t xml:space="preserve">Zitiervorschlag: § 37a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