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BBauG — Einvernehmen der Gemeinde und Zustimmung der höheren Verwaltungsbehörde</w:t>
      </w:r>
    </w:p>
    <w:p>
      <w:r>
        <w:rPr>
          <w:color w:val="555555"/>
          <w:sz w:val="18"/>
        </w:rPr>
        <w:t xml:space="preserve">Baugesetzbuch</w:t>
      </w:r>
    </w:p>
    <w:p>
      <w:r>
        <w:rPr>
          <w:color w:val="555555"/>
          <w:sz w:val="18"/>
        </w:rPr>
        <w:t xml:space="preserve">Stand: 30.10.2025 (konsolidierte Textfassung, kein amtliches Inkrafttretensdatum)</w:t>
      </w:r>
    </w:p>
    <w:p>
      <w:r>
        <w:t xml:space="preserve">(1) Über die Zulässigkeit von Vorhaben nach § 31 Absatz 1 und 2, den §§ 33, 34 Absatz 1, 2 und 3a sowie § 35 wird im bauaufsichtlichen Verfahren von der Baugenehmigungsbehörde im Einvernehmen mit der Gemeinde entschieden. Das Einvernehmen der Gemeinde ist auch erforderlich, wenn in einem anderen Verfahren über die Zulässigkeit nach den in Satz 1 bezeichneten Vorschriften entschieden wird; dies gilt nicht für Vorhaben der in § 29 Absatz 1 bezeichneten Art, die der Bergaufsicht unterliegen. Richtet sich die Zulässigkeit von Vorhaben nach § 30 Absatz 1, stellen die Länder sicher, dass die Gemeinde rechtzeitig vor Ausführung des Vorhabens über Maßnahmen zur Sicherung der Bauleitplanung nach den §§ 14 und 15 entscheiden kann. In den Fällen des § 35 Absatz 2 und 4 kann die Landesregierung durch Rechtsverordnung allgemein oder für bestimmte Fälle festlegen, dass die Zustimmung der höheren Verwaltungsbehörde erforderlich ist.</w:t>
      </w:r>
    </w:p>
    <w:p>
      <w:r>
        <w:t xml:space="preserve">(2) Das Einvernehmen der Gemeinde und die Zustimmung der höheren Verwaltungsbehörde dürfen nur aus den sich aus § 31 Absatz 1 und 2, den §§ 33, 34 Absatz 1, 2 und 3a sowie aus § 35 ergebenden Gründen versagt werden. Das Einvernehmen der Gemeinde und die Zustimmung der höheren Verwaltungsbehörde gelten als erteilt, wenn sie nicht binnen zwei Monaten nach Eingang des Ersuchens der Genehmigungsbehörde verweigert werden; dem Ersuchen gegenüber der Gemeinde steht die Einreichung des Antrags bei der Gemeinde gleich, wenn sie nach Landesrecht vorgeschrieben ist. Die nach Landesrecht zuständige Behörde kann ein rechtswidrig versagtes Einvernehmen der Gemeinde ersetzen.</w:t>
      </w:r>
    </w:p>
    <w:p>
      <w:r>
        <w:rPr>
          <w:color w:val="555555"/>
          <w:sz w:val="17"/>
        </w:rPr>
        <w:t xml:space="preserve">Zitiervorschlag: § 36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