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BBauG — Nutzungsbeschränkungen auf künftigen Gemeinbedarfs-, Verkehrs-, Versorgungs- und Grünflächen</w:t>
      </w:r>
    </w:p>
    <w:p>
      <w:r>
        <w:rPr>
          <w:color w:val="555555"/>
          <w:sz w:val="18"/>
        </w:rPr>
        <w:t xml:space="preserve">Baugesetzbuch</w:t>
      </w:r>
    </w:p>
    <w:p>
      <w:r>
        <w:rPr>
          <w:color w:val="555555"/>
          <w:sz w:val="18"/>
        </w:rPr>
        <w:t xml:space="preserve">Stand: 10.06.2019 (konsolidierte Textfassung, kein amtliches Inkrafttretensdatum)</w:t>
      </w:r>
    </w:p>
    <w:p>
      <w:r>
        <w:t xml:space="preserve">Sind überbaute Flächen in dem Bebauungsplan als Baugrundstücke für den Gemeinbedarf oder als Verkehrs-, Versorgungs- oder Grünflächen festgesetzt, dürfen auf ihnen Vorhaben, die eine wertsteigernde Änderung baulicher Anlagen zur Folge haben, nur zugelassen und für sie Befreiungen von den Festsetzungen des Bebauungsplans nur erteilt werden, wenn der Bedarfs- oder Erschließungsträger zustimmt oder der Eigentümer für sich und seine Rechtsnachfolger auf Ersatz der Werterhöhung für den Fall schriftlich verzichtet, dass der Bebauungsplan durchgeführt wird. Dies gilt auch für die dem Bebauungsplan nicht widersprechenden Teile einer baulichen Anlage, wenn sie für sich allein nicht wirtschaftlich verwertbar sind oder wenn bei der Enteignung die Übernahme der restlichen überbauten Flächen verlangt werden kann.</w:t>
      </w:r>
    </w:p>
    <w:p>
      <w:r>
        <w:rPr>
          <w:color w:val="555555"/>
          <w:sz w:val="17"/>
        </w:rPr>
        <w:t xml:space="preserve">Zitiervorschlag: § 32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