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BBauG — Besonderes Vorkaufsrecht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23.06.2021 (konsolidierte Textfassung, kein amtliches Inkrafttretensdatum)</w:t>
      </w:r>
    </w:p>
    <w:p>
      <w:r>
        <w:t xml:space="preserve">(1) Die Gemeinde kann</w:t>
      </w:r>
    </w:p>
    <w:p>
      <w:pPr>
        <w:ind w:left="420"/>
      </w:pPr>
      <w:r>
        <w:t xml:space="preserve">1. im Geltungsbereich eines Bebauungsplans durch Satzung ihr Vorkaufsrecht an unbebauten Grundstücken begründen;</w:t>
      </w:r>
    </w:p>
    <w:p>
      <w:pPr>
        <w:ind w:left="420"/>
      </w:pPr>
      <w:r>
        <w:t xml:space="preserve">2. in Gebieten, in denen sie städtebauliche Maßnahmen in Betracht zieht, zur Sicherung einer geordneten städtebaulichen Entwicklung durch Satzung Flächen bezeichnen, an denen ihr ein Vorkaufsrecht an den Grundstücken zusteht;</w:t>
      </w:r>
    </w:p>
    <w:p>
      <w:pPr>
        <w:ind w:left="420"/>
      </w:pPr>
      <w:r>
        <w:t xml:space="preserve">3. im Geltungsbereich eines Bebauungsplans an brachliegenden Grundstücken oder für im Zusammenhang bebaute Ortsteile (§ 34) an unbebauten oder brachliegenden Grundstücken durch Satzung ihr Vorkaufsrecht begründen, wenn</w:t>
      </w:r>
    </w:p>
    <w:p>
      <w:pPr>
        <w:ind w:left="780"/>
      </w:pPr>
      <w:r>
        <w:t xml:space="preserve">a) diese vorwiegend mit Wohngebäuden bebaut werden können und</w:t>
      </w:r>
    </w:p>
    <w:p>
      <w:pPr>
        <w:ind w:left="780"/>
      </w:pPr>
      <w:r>
        <w:t xml:space="preserve">b) es sich um ein nach § 201a bestimmtes Gebiet mit einem angespannten Wohnungsmarkt handelt.</w:t>
      </w:r>
    </w:p>
    <w:p>
      <w:r>
        <w:t xml:space="preserve">Ein Grundstück gilt auch dann als unbebaut, wenn es lediglich mit einer Einfriedung oder zu erkennbar vorläufigen Zwecken bebaut ist. Das Vorkaufsrecht nach Satz 1 Nummer 3 erlischt mit dem Ende der Geltungsdauer der Rechtsverordnung nach § 201a. Auf die Satzung ist § 16 Absatz 2 entsprechend anzuwenden.</w:t>
      </w:r>
    </w:p>
    <w:p>
      <w:r>
        <w:t xml:space="preserve">(2) § 24 Absatz 2 und 3 Satz 1 und 2 ist anzuwenden. Der Verwendungszweck des Grundstücks ist anzugeben, soweit das bereits zum Zeitpunkt der Ausübung des Vorkaufsrechts möglich ist.</w:t>
      </w:r>
    </w:p>
    <w:p>
      <w:r>
        <w:rPr>
          <w:color w:val="555555"/>
          <w:sz w:val="17"/>
        </w:rPr>
        <w:t xml:space="preserve">Zitiervorschlag: § 25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