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249b BBauG — Verordnungsermächtigungen zum Ausbau der erneuerbaren Energien in Abbaubereichen des Braunkohletagebaus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(1) Die Landesregierungen werden ermächtigt, durch Rechtsverordnung zu bestimmen, dass für die Entscheidung über die Zulässigkeit eines Vorhabens nach § 35 Absatz 1 Nummer 5, das der Erforschung, Entwicklung oder Nutzung der Windenergie dient, innerhalb des Abbaubereichs eines Braunkohlen- oder Sanierungsplans folgende Maßgaben gelten, die Zulässigkeitsvoraussetzungen im Übrigen aber unberührt bleiben:</w:t>
      </w:r>
    </w:p>
    <w:p>
      <w:pPr>
        <w:ind w:left="420"/>
      </w:pPr>
      <w:r>
        <w:t xml:space="preserve">1. Darstellungen in Flächennutzungsplänen und Ziele der Raumordnung stehen dem genannten Vorhaben nicht entgegen; die Rekultivierungsziele nach dem Braunkohlen- oder Sanierungsplan sind aber angemessen zu berücksichtigen und</w:t>
      </w:r>
    </w:p>
    <w:p>
      <w:pPr>
        <w:ind w:left="420"/>
      </w:pPr>
      <w:r>
        <w:t xml:space="preserve">2. das Vorhaben soll die bergbaulichen Tätigkeiten nicht erheblich beeinträchtigen.</w:t>
      </w:r>
    </w:p>
    <w:p>
      <w:r>
        <w:t xml:space="preserve">Der Geltungsbereich der Rechtsverordnung kann auf bestimmte Teile eines Abbaubereichs beschränkt werden. Die Rechtsfolge des § 249 Absatz 2 Satz 1 und 2 tritt im Geltungsbereich der Rechtsverordnung nicht ein.</w:t>
      </w:r>
    </w:p>
    <w:p>
      <w:r>
        <w:t xml:space="preserve">(2) Die Landesregierungen werden ermächtigt, durch Rechtsverordnung zu bestimmen, dass ein Vorhaben zur Nutzung solarer Strahlungsenergie innerhalb des Abbaubereichs eines Braunkohlen- oder Sanierungsplans dann zulässig ist, wenn</w:t>
      </w:r>
    </w:p>
    <w:p>
      <w:pPr>
        <w:ind w:left="420"/>
      </w:pPr>
      <w:r>
        <w:t xml:space="preserve">1. öffentliche Belange dem Vorhaben nicht entgegenstehen, wobei jedoch Darstellungen in Flächennutzungsplänen und Ziele der Raumordnung dem Vorhaben nicht entgegenstehen, die Rekultivierungsziele nach dem Braunkohlen- oder Sanierungsplan aber angemessen zu berücksichtigen sind,</w:t>
      </w:r>
    </w:p>
    <w:p>
      <w:pPr>
        <w:ind w:left="420"/>
      </w:pPr>
      <w:r>
        <w:t xml:space="preserve">2. die ausreichende Erschließung des Vorhabens gesichert ist,</w:t>
      </w:r>
    </w:p>
    <w:p>
      <w:pPr>
        <w:ind w:left="420"/>
      </w:pPr>
      <w:r>
        <w:t xml:space="preserve">3. das Vorhaben die bergbaulichen Tätigkeiten nicht erheblich beeinträchtigt und</w:t>
      </w:r>
    </w:p>
    <w:p>
      <w:pPr>
        <w:ind w:left="420"/>
      </w:pPr>
      <w:r>
        <w:t xml:space="preserve">4. die Voraussetzungen des § 35 Absatz 5 Satz 2 erster Halbsatz und Satz 3 gegeben sind.</w:t>
      </w:r>
    </w:p>
    <w:p>
      <w:r>
        <w:t xml:space="preserve">Der Geltungsbereich der Rechtsverordnung kann auf bestimmte Teile eines Abbaubereichs beschränkt werden. Im Geltungsbereich der Rechtsverordnung ist § 36 bei der Entscheidung über die Zulässigkeit eines Vorhabens nach Satz 1 entsprechend anzuwenden.</w:t>
      </w:r>
    </w:p>
    <w:p>
      <w:r>
        <w:rPr>
          <w:color w:val="555555"/>
          <w:sz w:val="17"/>
        </w:rPr>
        <w:t xml:space="preserve">Zitiervorschlag: § 249b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https://recht.nulegal.eu/gesetze/BBauG/249b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249b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