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248 BBauG — Sonderregelung zur sparsamen und effizienten Nutzung von Energie</w:t>
      </w:r>
    </w:p>
    <w:p>
      <w:r>
        <w:rPr>
          <w:color w:val="555555"/>
          <w:sz w:val="18"/>
        </w:rPr>
        <w:t xml:space="preserve">Baugesetzbuch</w:t>
      </w:r>
    </w:p>
    <w:p>
      <w:r>
        <w:rPr>
          <w:color w:val="555555"/>
          <w:sz w:val="18"/>
        </w:rPr>
        <w:t xml:space="preserve">Stand: 10.06.2019 (konsolidierte Textfassung, kein amtliches Inkrafttretensdatum)</w:t>
      </w:r>
    </w:p>
    <w:p>
      <w:r>
        <w:t xml:space="preserve">In Gebieten mit Bebauungsplänen oder Satzungen nach § 34 Absatz 4 Satz 1 Nummer 2 oder 3 sind bei Maßnahmen an bestehenden Gebäuden zum Zwecke der Energieeinsparung geringfügige Abweichungen von dem festgesetzten Maß der baulichen Nutzung, der Bauweise und der überbaubaren Grundstücksfläche zulässig, soweit dies mit nachbarlichen Interessen und baukulturellen Belangen vereinbar ist. Satz 1 gilt entsprechend für Anlagen zur Nutzung solarer Strahlungsenergie in, an und auf Dach- und Außenwandflächen. In den im Zusammenhang bebauten Ortsteilen gelten die Sätze 1 und 2 entsprechend für Abweichungen vom Erfordernis des Einfügens in die Eigenart der näheren Umgebung (§ 34 Absatz 1 Satz 1).</w:t>
      </w:r>
    </w:p>
    <w:p>
      <w:r>
        <w:rPr>
          <w:color w:val="555555"/>
          <w:sz w:val="17"/>
        </w:rPr>
        <w:t xml:space="preserve">Zitiervorschlag: § 248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