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245f BBauG — Überleitungsvorschriften aus Anlass des Gesetzes zur Stärkung der Digitalisierung im Bauleitplanverfahren und zur Änderung weiterer Vorschriften sowie aus Anlass der Einführung des § 249c; Evaluierung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15.08.2025 (konsolidierte Textfassung, kein amtliches Inkrafttretensdatum)</w:t>
      </w:r>
    </w:p>
    <w:p>
      <w:r>
        <w:t xml:space="preserve">(1) Abweichend von § 233 Absatz 1 ist § 6 Absatz 4 in der Fassung dieses Gesetzes anzuwenden, wenn der Genehmigungsantrag bei der höheren Verwaltungsbehörde nach dem 7. Juli 2023 eingegangen ist.</w:t>
      </w:r>
    </w:p>
    <w:p>
      <w:r>
        <w:t xml:space="preserve">(2) Das Bundesministerium für Wohnen, Stadtentwicklung und Bauwesen evaluiert die Auswirkungen der Änderungen der §§ 3, 4, 4a und 200 zur Digitalisierung und die Änderung des § 6 zur Fristverkürzung auf die Bauleitplanverfahren bis zum 31. Dezember 2027.</w:t>
      </w:r>
    </w:p>
    <w:p>
      <w:r>
        <w:t xml:space="preserve">(3) Abweichend von § 233 Absatz 1 sind in Aufstellung befindliche Windenergiegebiete gemäß § 2 Nummer 1 des Windenergieflächenbedarfsgesetzes, für die vor dem 15. August 2025 ein Beschluss über die Aufstellung, Änderung oder Ergänzung eines Flächennutzungsplans gefasst wurde, als Beschleunigungsgebiete nach § 249c darzustellen, soweit die dort genannten Voraussetzungen dafür vorliegen. Die Darstellung als Beschleunigungsgebiet kann ausnahmsweise in einem nachfolgenden, innerhalb von drei Monaten förmlich einzuleitenden separaten Planverfahren erfolgen. Die Sätze 1 und 2 gelten entsprechend für Windenergiegebiete, die nach Ablauf des 19. Mai 2024 und vor dem 15. August 2025 ausgewiesen worden sind.</w:t>
      </w:r>
    </w:p>
    <w:p>
      <w:r>
        <w:rPr>
          <w:color w:val="555555"/>
          <w:sz w:val="17"/>
        </w:rPr>
        <w:t xml:space="preserve">Zitiervorschlag: § 245f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https://recht.nulegal.eu/gesetze/BBauG/245f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