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245d BBauG — Überleitungsvorschrift aus Anlass des Gesetzes zur Mobilisierung von Bauland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§ 34 Absatz 2 findet auf Baugebiete nach § 5a der Baunutzungsverordnung keine Anwendung.</w:t>
      </w:r>
    </w:p>
    <w:p>
      <w:r>
        <w:t xml:space="preserve">(2) Im Anwendungsbereich des § 34 Absatz 2 ist § 14 Absatz 1a der Baunutzungsverordnung nicht anzuwenden; für die der öffentlichen Versorgung mit Telekommunikationsdienstleistungen dienenden Nebenanlagen gilt dort § 14 Absatz 2 der Baunutzungsverordnung entsprechend.</w:t>
      </w:r>
    </w:p>
    <w:p>
      <w:r>
        <w:rPr>
          <w:color w:val="555555"/>
          <w:sz w:val="17"/>
        </w:rPr>
        <w:t xml:space="preserve">Zitiervorschlag: § 245d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