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245b BBauG — Überleitungsvorschriften für Vorhaben im Außenbereich</w:t>
      </w:r>
    </w:p>
    <w:p>
      <w:r>
        <w:rPr>
          <w:color w:val="555555"/>
          <w:sz w:val="18"/>
        </w:rPr>
        <w:t xml:space="preserve">Baugesetzbuch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(weggefallen)</w:t>
      </w:r>
    </w:p>
    <w:p>
      <w:r>
        <w:t xml:space="preserve">(2) Die Länder können bestimmen, dass die Frist nach § 35 Absatz 4 Satz 1 Nummer 1 Buchstabe c nicht anzuwenden ist.</w:t>
      </w:r>
    </w:p>
    <w:p>
      <w:r>
        <w:rPr>
          <w:color w:val="555555"/>
          <w:sz w:val="17"/>
        </w:rPr>
        <w:t xml:space="preserve">Zitiervorschlag: § 245b BBauG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https://recht.nulegal.eu/gesetze/BBauG/245b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